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D2F8C" w14:textId="298D21A6" w:rsidR="00634520" w:rsidRPr="00634520" w:rsidRDefault="00646929" w:rsidP="00646929">
      <w:pPr>
        <w:jc w:val="center"/>
        <w:rPr>
          <w:b/>
          <w:bCs/>
          <w:sz w:val="28"/>
          <w:szCs w:val="28"/>
        </w:rPr>
      </w:pPr>
      <w:r w:rsidRPr="00634520">
        <w:rPr>
          <w:b/>
          <w:bCs/>
          <w:noProof/>
          <w:sz w:val="28"/>
          <w:szCs w:val="28"/>
        </w:rPr>
        <w:drawing>
          <wp:inline distT="0" distB="0" distL="0" distR="0" wp14:anchorId="12666DAC" wp14:editId="0F1EF993">
            <wp:extent cx="5678424" cy="1773936"/>
            <wp:effectExtent l="0" t="0" r="0" b="0"/>
            <wp:docPr id="775478108" name="Picture 2" descr="A black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478108" name="Picture 2" descr="A black background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424" cy="177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520" w:rsidRPr="00634520"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79161980" wp14:editId="7FDB9142">
                <wp:extent cx="304800" cy="304800"/>
                <wp:effectExtent l="0" t="0" r="0" b="0"/>
                <wp:docPr id="44454593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65DE6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110480F" w14:textId="08D3D2CF" w:rsidR="004F3209" w:rsidRDefault="004F3209" w:rsidP="00634520">
      <w:pPr>
        <w:jc w:val="center"/>
        <w:rPr>
          <w:b/>
          <w:bCs/>
          <w:sz w:val="28"/>
          <w:szCs w:val="28"/>
        </w:rPr>
      </w:pPr>
    </w:p>
    <w:p w14:paraId="56662CF2" w14:textId="4118A5A9" w:rsidR="00FF0DA8" w:rsidRPr="000021C9" w:rsidRDefault="00046259">
      <w:pPr>
        <w:rPr>
          <w:b/>
          <w:bCs/>
          <w:sz w:val="28"/>
          <w:szCs w:val="28"/>
        </w:rPr>
      </w:pPr>
      <w:r w:rsidRPr="000021C9">
        <w:rPr>
          <w:b/>
          <w:bCs/>
          <w:sz w:val="28"/>
          <w:szCs w:val="28"/>
        </w:rPr>
        <w:t>202</w:t>
      </w:r>
      <w:r w:rsidR="00634520">
        <w:rPr>
          <w:b/>
          <w:bCs/>
          <w:sz w:val="28"/>
          <w:szCs w:val="28"/>
        </w:rPr>
        <w:t>5</w:t>
      </w:r>
      <w:r w:rsidRPr="000021C9">
        <w:rPr>
          <w:b/>
          <w:bCs/>
          <w:sz w:val="28"/>
          <w:szCs w:val="28"/>
        </w:rPr>
        <w:t xml:space="preserve"> Annual Appeal for Catholic Ministries </w:t>
      </w:r>
    </w:p>
    <w:p w14:paraId="28D735B4" w14:textId="77777777" w:rsidR="00046259" w:rsidRPr="002E3E3D" w:rsidRDefault="00046259">
      <w:pPr>
        <w:rPr>
          <w:b/>
          <w:bCs/>
          <w:u w:val="single"/>
        </w:rPr>
      </w:pPr>
      <w:r w:rsidRPr="002E3E3D">
        <w:rPr>
          <w:b/>
          <w:bCs/>
          <w:u w:val="single"/>
        </w:rPr>
        <w:t>Frequently Asked Questions:</w:t>
      </w:r>
    </w:p>
    <w:p w14:paraId="2A494FB0" w14:textId="3E78AE46" w:rsidR="00684B8F" w:rsidRDefault="00684B8F" w:rsidP="00BC2A8A">
      <w:pPr>
        <w:pStyle w:val="ListParagraph"/>
        <w:numPr>
          <w:ilvl w:val="0"/>
          <w:numId w:val="5"/>
        </w:numPr>
        <w:rPr>
          <w:b/>
          <w:bCs/>
        </w:rPr>
      </w:pPr>
      <w:r w:rsidRPr="00684B8F">
        <w:rPr>
          <w:b/>
          <w:bCs/>
        </w:rPr>
        <w:t>Will my gift to the Annual Appeal for Catholic Ministries be used to pay legal settlements?</w:t>
      </w:r>
    </w:p>
    <w:p w14:paraId="06D4E493" w14:textId="73534127" w:rsidR="00684B8F" w:rsidRPr="00684B8F" w:rsidRDefault="00CF572A" w:rsidP="00684B8F">
      <w:pPr>
        <w:pStyle w:val="ListParagraph"/>
      </w:pPr>
      <w:r>
        <w:t>No.</w:t>
      </w:r>
      <w:r w:rsidR="00684B8F" w:rsidRPr="00684B8F">
        <w:t xml:space="preserve"> </w:t>
      </w:r>
      <w:r>
        <w:t>G</w:t>
      </w:r>
      <w:r w:rsidR="00684B8F" w:rsidRPr="00684B8F">
        <w:t>ifts are made to the Annual Appeal to support specific ministries and programs, and those funds will be used for those purposes</w:t>
      </w:r>
      <w:r>
        <w:t xml:space="preserve"> only</w:t>
      </w:r>
      <w:r w:rsidR="00684B8F" w:rsidRPr="00684B8F">
        <w:t>.</w:t>
      </w:r>
      <w:r w:rsidR="00684B8F">
        <w:t xml:space="preserve"> </w:t>
      </w:r>
      <w:r w:rsidR="00684B8F" w:rsidRPr="00684B8F">
        <w:t xml:space="preserve">Since 1992, your generosity has enabled over 100 life-affirming ministries to transform lives, a testament to our shared commitment to making a difference. Rest assured, your contributions to the Annual Appeal are securely managed as part of a separate, perpetual, and irrevocable trust established in 1992, exclusively used for these vital ministries and restricted from being used for any other purposes. </w:t>
      </w:r>
    </w:p>
    <w:p w14:paraId="087C5A4D" w14:textId="77777777" w:rsidR="00272883" w:rsidRDefault="00272883" w:rsidP="00272883">
      <w:pPr>
        <w:pStyle w:val="ListParagraph"/>
        <w:rPr>
          <w:b/>
          <w:bCs/>
        </w:rPr>
      </w:pPr>
    </w:p>
    <w:p w14:paraId="6334028B" w14:textId="0D9D6149" w:rsidR="00046259" w:rsidRPr="00BC2A8A" w:rsidRDefault="002E3E3D" w:rsidP="00BC2A8A">
      <w:pPr>
        <w:pStyle w:val="ListParagraph"/>
        <w:numPr>
          <w:ilvl w:val="0"/>
          <w:numId w:val="5"/>
        </w:numPr>
        <w:rPr>
          <w:b/>
          <w:bCs/>
        </w:rPr>
      </w:pPr>
      <w:r w:rsidRPr="00BC2A8A">
        <w:rPr>
          <w:b/>
          <w:bCs/>
        </w:rPr>
        <w:t>Will the Parish Dashboards be updated with the 202</w:t>
      </w:r>
      <w:r w:rsidR="00634520" w:rsidRPr="00BC2A8A">
        <w:rPr>
          <w:b/>
          <w:bCs/>
        </w:rPr>
        <w:t>5</w:t>
      </w:r>
      <w:r w:rsidRPr="00BC2A8A">
        <w:rPr>
          <w:b/>
          <w:bCs/>
        </w:rPr>
        <w:t xml:space="preserve"> numbers?</w:t>
      </w:r>
    </w:p>
    <w:p w14:paraId="5D528BA0" w14:textId="122AD146" w:rsidR="00FE3676" w:rsidRDefault="00FE3676" w:rsidP="000021C9">
      <w:pPr>
        <w:pStyle w:val="ListParagraph"/>
      </w:pPr>
      <w:r>
        <w:t>Yes, parish dashboards, as well as the website progress report, will be updated shortly to reflect the 202</w:t>
      </w:r>
      <w:r w:rsidR="00634520">
        <w:t>5</w:t>
      </w:r>
      <w:r>
        <w:t xml:space="preserve"> goals and </w:t>
      </w:r>
      <w:r w:rsidR="008D01CC">
        <w:t>year-to-date</w:t>
      </w:r>
      <w:r>
        <w:t xml:space="preserve"> results.</w:t>
      </w:r>
      <w:r w:rsidR="00CF572A">
        <w:t xml:space="preserve"> The parish dashboards show </w:t>
      </w:r>
      <w:r w:rsidR="000C789E">
        <w:t>real-time</w:t>
      </w:r>
      <w:r w:rsidR="00CF572A">
        <w:t xml:space="preserve"> </w:t>
      </w:r>
      <w:r w:rsidR="009B2A6A">
        <w:t>results,</w:t>
      </w:r>
      <w:r w:rsidR="00CF572A">
        <w:t xml:space="preserve"> and the progress report will be updated on a regular basis (weekly, bi-weekly).</w:t>
      </w:r>
    </w:p>
    <w:p w14:paraId="42C36000" w14:textId="77777777" w:rsidR="00FE3676" w:rsidRDefault="00FE3676" w:rsidP="00D61639">
      <w:pPr>
        <w:pStyle w:val="ListParagraph"/>
      </w:pPr>
    </w:p>
    <w:p w14:paraId="5C46C8E6" w14:textId="77777777" w:rsidR="002E3E3D" w:rsidRPr="00BC2A8A" w:rsidRDefault="002E3E3D" w:rsidP="00BC2A8A">
      <w:pPr>
        <w:pStyle w:val="ListParagraph"/>
        <w:numPr>
          <w:ilvl w:val="0"/>
          <w:numId w:val="5"/>
        </w:numPr>
        <w:rPr>
          <w:b/>
          <w:bCs/>
        </w:rPr>
      </w:pPr>
      <w:r w:rsidRPr="00BC2A8A">
        <w:rPr>
          <w:b/>
          <w:bCs/>
        </w:rPr>
        <w:t xml:space="preserve">Are there Spanish materials available? </w:t>
      </w:r>
      <w:r w:rsidRPr="00BC2A8A">
        <w:rPr>
          <w:b/>
          <w:bCs/>
        </w:rPr>
        <w:tab/>
      </w:r>
    </w:p>
    <w:p w14:paraId="03AE3273" w14:textId="5D8C006E" w:rsidR="00FB3E56" w:rsidRPr="00BC2A8A" w:rsidRDefault="002E3E3D" w:rsidP="00FB3E56">
      <w:pPr>
        <w:ind w:left="720"/>
        <w:jc w:val="both"/>
      </w:pPr>
      <w:r w:rsidRPr="00BC2A8A">
        <w:t xml:space="preserve">Yes, Spanish materials are available on the Parish Resource page on the AOB </w:t>
      </w:r>
      <w:r w:rsidR="00FB3E56" w:rsidRPr="00BC2A8A">
        <w:t>website,</w:t>
      </w:r>
      <w:r w:rsidR="000021C9" w:rsidRPr="00BC2A8A">
        <w:t xml:space="preserve"> </w:t>
      </w:r>
      <w:r w:rsidR="0011557A" w:rsidRPr="00BC2A8A">
        <w:t>and most Appeal materials are bilingual.</w:t>
      </w:r>
      <w:r w:rsidR="00CF572A" w:rsidRPr="00BC2A8A">
        <w:t xml:space="preserve"> </w:t>
      </w:r>
    </w:p>
    <w:p w14:paraId="64B33F6C" w14:textId="11A04A29" w:rsidR="008D01CC" w:rsidRPr="00FB3E56" w:rsidRDefault="00FB3E56" w:rsidP="00FB3E56">
      <w:pPr>
        <w:ind w:left="720"/>
        <w:jc w:val="both"/>
        <w:rPr>
          <w:rStyle w:val="Hyperlink"/>
          <w:color w:val="auto"/>
          <w:u w:val="none"/>
        </w:rPr>
      </w:pPr>
      <w:hyperlink r:id="rId6" w:history="1">
        <w:r w:rsidRPr="003D0AE5">
          <w:rPr>
            <w:rStyle w:val="Hyperlink"/>
          </w:rPr>
          <w:t>https://www.archbalt.org/_parishes/</w:t>
        </w:r>
      </w:hyperlink>
    </w:p>
    <w:p w14:paraId="0CFCE1BC" w14:textId="77777777" w:rsidR="008D01CC" w:rsidRDefault="008D01CC" w:rsidP="008D01CC">
      <w:pPr>
        <w:pStyle w:val="ListParagraph"/>
        <w:ind w:left="1440"/>
      </w:pPr>
    </w:p>
    <w:p w14:paraId="214012F0" w14:textId="77777777" w:rsidR="00684B8F" w:rsidRDefault="002E3E3D" w:rsidP="00BC2A8A">
      <w:pPr>
        <w:pStyle w:val="ListParagraph"/>
        <w:numPr>
          <w:ilvl w:val="0"/>
          <w:numId w:val="5"/>
        </w:numPr>
        <w:rPr>
          <w:b/>
          <w:bCs/>
        </w:rPr>
      </w:pPr>
      <w:r w:rsidRPr="008D01CC">
        <w:rPr>
          <w:b/>
          <w:bCs/>
        </w:rPr>
        <w:t>How much of the Appeal mone</w:t>
      </w:r>
      <w:r w:rsidR="00233136" w:rsidRPr="008D01CC">
        <w:rPr>
          <w:b/>
          <w:bCs/>
        </w:rPr>
        <w:t>y</w:t>
      </w:r>
      <w:r w:rsidRPr="008D01CC">
        <w:rPr>
          <w:b/>
          <w:bCs/>
        </w:rPr>
        <w:t xml:space="preserve"> raised </w:t>
      </w:r>
      <w:r w:rsidR="00135A2E" w:rsidRPr="008D01CC">
        <w:rPr>
          <w:b/>
          <w:bCs/>
        </w:rPr>
        <w:t>goes</w:t>
      </w:r>
      <w:r w:rsidRPr="008D01CC">
        <w:rPr>
          <w:b/>
          <w:bCs/>
        </w:rPr>
        <w:t xml:space="preserve"> back to the parishes?</w:t>
      </w:r>
    </w:p>
    <w:p w14:paraId="26668BB0" w14:textId="152A4DFF" w:rsidR="0011557A" w:rsidRPr="00684B8F" w:rsidRDefault="0011557A" w:rsidP="00684B8F">
      <w:pPr>
        <w:pStyle w:val="ListParagraph"/>
        <w:rPr>
          <w:b/>
          <w:bCs/>
        </w:rPr>
      </w:pPr>
      <w:r>
        <w:t>Approximately 23% of the dollars raised during the Appeal are returned to the parishes. Parishes that reach their goal</w:t>
      </w:r>
      <w:r w:rsidR="006D2B2E">
        <w:t>s</w:t>
      </w:r>
      <w:r>
        <w:t xml:space="preserve"> </w:t>
      </w:r>
      <w:r w:rsidR="006D2B2E">
        <w:t>receive</w:t>
      </w:r>
      <w:r>
        <w:t xml:space="preserve"> rebate</w:t>
      </w:r>
      <w:r w:rsidR="006D2B2E">
        <w:t xml:space="preserve">s at a higher </w:t>
      </w:r>
      <w:r w:rsidR="001C75CC">
        <w:t>percentage</w:t>
      </w:r>
      <w:r w:rsidR="00F46A33">
        <w:t xml:space="preserve"> rate</w:t>
      </w:r>
      <w:r>
        <w:t xml:space="preserve"> for all money raised </w:t>
      </w:r>
      <w:r w:rsidRPr="00684B8F">
        <w:rPr>
          <w:i/>
          <w:u w:val="single"/>
        </w:rPr>
        <w:t>above</w:t>
      </w:r>
      <w:r>
        <w:t xml:space="preserve"> goal.</w:t>
      </w:r>
      <w:r w:rsidR="00CF572A">
        <w:t xml:space="preserve"> These funds may be used for any parish project, program, or need at the discretion of the pastor.</w:t>
      </w:r>
    </w:p>
    <w:p w14:paraId="26C0D5FF" w14:textId="77777777" w:rsidR="00684B8F" w:rsidRDefault="00684B8F" w:rsidP="00684B8F">
      <w:pPr>
        <w:pStyle w:val="ListParagraph"/>
        <w:rPr>
          <w:b/>
          <w:bCs/>
        </w:rPr>
      </w:pPr>
    </w:p>
    <w:p w14:paraId="5913D5F9" w14:textId="6B196654" w:rsidR="00684B8F" w:rsidRPr="00BC2A8A" w:rsidRDefault="004346DA" w:rsidP="00BC2A8A">
      <w:pPr>
        <w:pStyle w:val="ListParagraph"/>
        <w:numPr>
          <w:ilvl w:val="0"/>
          <w:numId w:val="5"/>
        </w:numPr>
        <w:rPr>
          <w:b/>
          <w:bCs/>
        </w:rPr>
      </w:pPr>
      <w:r w:rsidRPr="00BC2A8A">
        <w:rPr>
          <w:b/>
          <w:bCs/>
        </w:rPr>
        <w:t xml:space="preserve">Who do we contact to </w:t>
      </w:r>
      <w:r w:rsidR="00F46A33" w:rsidRPr="00BC2A8A">
        <w:rPr>
          <w:b/>
          <w:bCs/>
        </w:rPr>
        <w:t>request</w:t>
      </w:r>
      <w:r w:rsidRPr="00BC2A8A">
        <w:rPr>
          <w:b/>
          <w:bCs/>
        </w:rPr>
        <w:t xml:space="preserve"> </w:t>
      </w:r>
      <w:r w:rsidR="00684B8F" w:rsidRPr="00BC2A8A">
        <w:rPr>
          <w:b/>
          <w:bCs/>
        </w:rPr>
        <w:t xml:space="preserve">a </w:t>
      </w:r>
      <w:r w:rsidRPr="00BC2A8A">
        <w:rPr>
          <w:b/>
          <w:bCs/>
        </w:rPr>
        <w:t>guest speaker/ambassador</w:t>
      </w:r>
      <w:r w:rsidR="000021C9" w:rsidRPr="00BC2A8A">
        <w:rPr>
          <w:b/>
          <w:bCs/>
        </w:rPr>
        <w:t>?</w:t>
      </w:r>
    </w:p>
    <w:p w14:paraId="36315395" w14:textId="3D401030" w:rsidR="00684B8F" w:rsidRPr="00094DD7" w:rsidRDefault="004346DA" w:rsidP="00684B8F">
      <w:pPr>
        <w:pStyle w:val="ListParagraph"/>
      </w:pPr>
      <w:r w:rsidRPr="00094DD7">
        <w:t xml:space="preserve">Please contact </w:t>
      </w:r>
      <w:r w:rsidR="00094DD7" w:rsidRPr="00094DD7">
        <w:t>your Regional Director (Kim Montgomery or Mark Talcott)</w:t>
      </w:r>
      <w:r w:rsidR="00233136" w:rsidRPr="00094DD7">
        <w:t xml:space="preserve"> </w:t>
      </w:r>
      <w:r w:rsidRPr="00094DD7">
        <w:t xml:space="preserve">if </w:t>
      </w:r>
      <w:r w:rsidR="00AA61AB" w:rsidRPr="00094DD7">
        <w:t>you would</w:t>
      </w:r>
      <w:r w:rsidRPr="00094DD7">
        <w:t xml:space="preserve"> like a speaker at your </w:t>
      </w:r>
      <w:r w:rsidR="00F46A33" w:rsidRPr="00094DD7">
        <w:t>M</w:t>
      </w:r>
      <w:r w:rsidRPr="00094DD7">
        <w:t>asses.</w:t>
      </w:r>
      <w:r w:rsidR="00CF572A" w:rsidRPr="00094DD7">
        <w:t xml:space="preserve"> Please let us know as soon as possible so we can </w:t>
      </w:r>
      <w:proofErr w:type="gramStart"/>
      <w:r w:rsidR="00CF572A" w:rsidRPr="00094DD7">
        <w:t>make arrangements</w:t>
      </w:r>
      <w:proofErr w:type="gramEnd"/>
      <w:r w:rsidR="00CF572A" w:rsidRPr="00094DD7">
        <w:t>.</w:t>
      </w:r>
      <w:r w:rsidRPr="00094DD7">
        <w:t xml:space="preserve"> </w:t>
      </w:r>
      <w:r w:rsidR="000021C9" w:rsidRPr="00094DD7">
        <w:t xml:space="preserve">  </w:t>
      </w:r>
    </w:p>
    <w:p w14:paraId="41CF28F2" w14:textId="77777777" w:rsidR="00684B8F" w:rsidRPr="00094DD7" w:rsidRDefault="00684B8F" w:rsidP="00684B8F">
      <w:pPr>
        <w:pStyle w:val="ListParagraph"/>
      </w:pPr>
    </w:p>
    <w:p w14:paraId="2B3B4B6A" w14:textId="1938E18B" w:rsidR="0011557A" w:rsidRPr="00684B8F" w:rsidRDefault="0011557A" w:rsidP="00BC2A8A">
      <w:pPr>
        <w:pStyle w:val="ListParagraph"/>
        <w:numPr>
          <w:ilvl w:val="0"/>
          <w:numId w:val="5"/>
        </w:numPr>
        <w:rPr>
          <w:b/>
          <w:bCs/>
        </w:rPr>
      </w:pPr>
      <w:r w:rsidRPr="00684B8F">
        <w:rPr>
          <w:b/>
          <w:bCs/>
        </w:rPr>
        <w:t>Do Appeal dollars pay salaries?</w:t>
      </w:r>
    </w:p>
    <w:p w14:paraId="1CC8F0A2" w14:textId="5BF76436" w:rsidR="00CE31ED" w:rsidRPr="001C75CC" w:rsidRDefault="00CE31ED" w:rsidP="000021C9">
      <w:pPr>
        <w:pStyle w:val="ListParagraph"/>
        <w:spacing w:after="0" w:line="240" w:lineRule="auto"/>
      </w:pPr>
      <w:r w:rsidRPr="001C75CC">
        <w:t xml:space="preserve">Funds </w:t>
      </w:r>
      <w:r w:rsidR="00F46A33" w:rsidRPr="001C75CC">
        <w:t xml:space="preserve">raised </w:t>
      </w:r>
      <w:r w:rsidRPr="001C75CC">
        <w:t xml:space="preserve">from the Annual Appeal </w:t>
      </w:r>
      <w:r w:rsidR="00CF572A">
        <w:t xml:space="preserve">for Catholic Ministries </w:t>
      </w:r>
      <w:r w:rsidRPr="001C75CC">
        <w:t xml:space="preserve">support </w:t>
      </w:r>
      <w:r w:rsidR="00F46A33" w:rsidRPr="001C75CC">
        <w:t>a</w:t>
      </w:r>
      <w:r w:rsidRPr="001C75CC">
        <w:t>rchdiocesan programs and ministries for the current year</w:t>
      </w:r>
      <w:r w:rsidR="00F46A33" w:rsidRPr="001C75CC">
        <w:t>, including</w:t>
      </w:r>
      <w:r w:rsidR="00C3680A" w:rsidRPr="001C75CC">
        <w:t xml:space="preserve"> </w:t>
      </w:r>
      <w:r w:rsidR="00F46A33" w:rsidRPr="001C75CC">
        <w:t xml:space="preserve">the </w:t>
      </w:r>
      <w:r w:rsidR="00C3680A" w:rsidRPr="001C75CC">
        <w:t xml:space="preserve">salaries for staff </w:t>
      </w:r>
      <w:r w:rsidR="00F46A33" w:rsidRPr="001C75CC">
        <w:t xml:space="preserve">working </w:t>
      </w:r>
      <w:r w:rsidR="00C3680A" w:rsidRPr="001C75CC">
        <w:t>within those ministries.</w:t>
      </w:r>
    </w:p>
    <w:p w14:paraId="68108036" w14:textId="77777777" w:rsidR="005E7480" w:rsidRPr="005E7480" w:rsidRDefault="005E7480" w:rsidP="005E7480">
      <w:pPr>
        <w:rPr>
          <w:b/>
          <w:bCs/>
        </w:rPr>
      </w:pPr>
    </w:p>
    <w:p w14:paraId="756F5392" w14:textId="77777777" w:rsidR="005E7480" w:rsidRPr="005E7480" w:rsidRDefault="005E7480" w:rsidP="005E7480">
      <w:pPr>
        <w:ind w:left="360"/>
        <w:rPr>
          <w:b/>
          <w:bCs/>
        </w:rPr>
      </w:pPr>
    </w:p>
    <w:p w14:paraId="6EFCD73F" w14:textId="3BDC9433" w:rsidR="00320851" w:rsidRDefault="00AD5B26" w:rsidP="005E7480">
      <w:pPr>
        <w:pStyle w:val="ListParagraph"/>
        <w:numPr>
          <w:ilvl w:val="0"/>
          <w:numId w:val="5"/>
        </w:numPr>
        <w:rPr>
          <w:b/>
          <w:bCs/>
        </w:rPr>
      </w:pPr>
      <w:r w:rsidRPr="00684B8F">
        <w:rPr>
          <w:b/>
          <w:bCs/>
        </w:rPr>
        <w:lastRenderedPageBreak/>
        <w:t>Who decides what ministries are supported?</w:t>
      </w:r>
    </w:p>
    <w:p w14:paraId="18F46AE9" w14:textId="04D4B3A8" w:rsidR="001F5D9E" w:rsidRDefault="00AD5B26" w:rsidP="00320851">
      <w:pPr>
        <w:pStyle w:val="ListParagraph"/>
      </w:pPr>
      <w:r>
        <w:t xml:space="preserve">Each year, an </w:t>
      </w:r>
      <w:r w:rsidR="00CF572A">
        <w:t>A</w:t>
      </w:r>
      <w:r>
        <w:t xml:space="preserve">llocations </w:t>
      </w:r>
      <w:r w:rsidR="00CF572A">
        <w:t>C</w:t>
      </w:r>
      <w:r>
        <w:t>ommittee consisting of pastors</w:t>
      </w:r>
      <w:r w:rsidR="00F46A33">
        <w:t>, lay leaders,</w:t>
      </w:r>
      <w:r>
        <w:t xml:space="preserve"> and </w:t>
      </w:r>
      <w:r w:rsidR="00F46A33">
        <w:t>a</w:t>
      </w:r>
      <w:r>
        <w:t>rchdiocesan employees meets and distributes the Appeal dollars to the ministries</w:t>
      </w:r>
      <w:r w:rsidR="00F46A33">
        <w:t xml:space="preserve"> supported</w:t>
      </w:r>
      <w:r>
        <w:t xml:space="preserve">. </w:t>
      </w:r>
      <w:r w:rsidR="00EE5491">
        <w:t xml:space="preserve">Information on many of </w:t>
      </w:r>
      <w:r w:rsidR="00F46A33">
        <w:t xml:space="preserve">the Appeal’s </w:t>
      </w:r>
      <w:r w:rsidR="001C75CC">
        <w:t>beneficiaries is</w:t>
      </w:r>
      <w:r w:rsidR="00EE5491">
        <w:t xml:space="preserve"> located on the </w:t>
      </w:r>
      <w:r w:rsidR="00F46A33">
        <w:t xml:space="preserve">Appeal </w:t>
      </w:r>
      <w:r w:rsidR="00EE5491">
        <w:t>website</w:t>
      </w:r>
      <w:r w:rsidR="00F46A33">
        <w:t xml:space="preserve"> here: </w:t>
      </w:r>
      <w:r w:rsidR="00F46A33" w:rsidRPr="00AA61AB">
        <w:rPr>
          <w:rStyle w:val="Hyperlink"/>
        </w:rPr>
        <w:t>https://www.archbalt.org/campaign-priorities/</w:t>
      </w:r>
      <w:r w:rsidR="00EE5491" w:rsidRPr="00AA61AB">
        <w:t>.</w:t>
      </w:r>
      <w:r>
        <w:t xml:space="preserve"> Financial documents </w:t>
      </w:r>
      <w:r w:rsidR="00EE5491">
        <w:t xml:space="preserve">with a detailed breakdown of the </w:t>
      </w:r>
      <w:r w:rsidR="00F46A33">
        <w:t>Archdiocese of Baltimore’s</w:t>
      </w:r>
      <w:r w:rsidR="00EE5491">
        <w:t xml:space="preserve"> budget </w:t>
      </w:r>
      <w:r>
        <w:t xml:space="preserve">may be reviewed </w:t>
      </w:r>
      <w:r w:rsidR="00F46A33">
        <w:t xml:space="preserve">here: </w:t>
      </w:r>
      <w:hyperlink r:id="rId7" w:history="1">
        <w:r w:rsidR="00F46A33">
          <w:rPr>
            <w:rStyle w:val="Hyperlink"/>
          </w:rPr>
          <w:t>https://www.archbalt.org/the-archdiocese/fiscal-accountability/</w:t>
        </w:r>
      </w:hyperlink>
      <w:r w:rsidR="00F46A33">
        <w:t>.</w:t>
      </w:r>
    </w:p>
    <w:p w14:paraId="18E01867" w14:textId="77777777" w:rsidR="008A1193" w:rsidRDefault="008A1193" w:rsidP="008A1193">
      <w:pPr>
        <w:pStyle w:val="ListParagraph"/>
        <w:rPr>
          <w:b/>
          <w:bCs/>
        </w:rPr>
      </w:pPr>
    </w:p>
    <w:p w14:paraId="066E4EB7" w14:textId="77777777" w:rsidR="008A1193" w:rsidRDefault="008A1193" w:rsidP="008A1193">
      <w:pPr>
        <w:pStyle w:val="ListParagraph"/>
        <w:rPr>
          <w:b/>
          <w:bCs/>
        </w:rPr>
      </w:pPr>
    </w:p>
    <w:p w14:paraId="7B6FDB9F" w14:textId="5298DA3F" w:rsidR="000C35E7" w:rsidRDefault="000C35E7" w:rsidP="00D2532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How are the Parish Goals set?</w:t>
      </w:r>
    </w:p>
    <w:p w14:paraId="6C7030D5" w14:textId="77777777" w:rsidR="000C35E7" w:rsidRDefault="000C35E7" w:rsidP="000C35E7">
      <w:pPr>
        <w:ind w:left="720"/>
      </w:pPr>
      <w:r w:rsidRPr="000C35E7">
        <w:t xml:space="preserve">The goal structure will remain the same as 2025 with two goals provided to each parish: </w:t>
      </w:r>
    </w:p>
    <w:p w14:paraId="4FCE1955" w14:textId="77777777" w:rsidR="000C35E7" w:rsidRPr="000C35E7" w:rsidRDefault="000C35E7" w:rsidP="000C35E7">
      <w:pPr>
        <w:pStyle w:val="ListParagraph"/>
        <w:numPr>
          <w:ilvl w:val="0"/>
          <w:numId w:val="9"/>
        </w:numPr>
      </w:pPr>
      <w:r w:rsidRPr="000C35E7">
        <w:rPr>
          <w:b/>
          <w:bCs/>
        </w:rPr>
        <w:t xml:space="preserve">Standard – 9% of Offertory </w:t>
      </w:r>
    </w:p>
    <w:p w14:paraId="364F56EA" w14:textId="77777777" w:rsidR="000C35E7" w:rsidRDefault="000C35E7" w:rsidP="000C35E7">
      <w:pPr>
        <w:pStyle w:val="ListParagraph"/>
        <w:numPr>
          <w:ilvl w:val="0"/>
          <w:numId w:val="9"/>
        </w:numPr>
      </w:pPr>
      <w:r w:rsidRPr="000C35E7">
        <w:rPr>
          <w:b/>
          <w:bCs/>
        </w:rPr>
        <w:t>Stretch – 12% of offertory</w:t>
      </w:r>
      <w:r w:rsidRPr="000C35E7">
        <w:t xml:space="preserve">. </w:t>
      </w:r>
    </w:p>
    <w:p w14:paraId="7DAB1A33" w14:textId="453A47D5" w:rsidR="000C35E7" w:rsidRPr="000C35E7" w:rsidRDefault="000C35E7" w:rsidP="000C35E7">
      <w:pPr>
        <w:ind w:left="720"/>
      </w:pPr>
      <w:r w:rsidRPr="000C35E7">
        <w:t>These goals are set</w:t>
      </w:r>
      <w:r>
        <w:t xml:space="preserve"> based</w:t>
      </w:r>
      <w:r w:rsidRPr="000C35E7">
        <w:t xml:space="preserve"> on the 2023 offertory totals. </w:t>
      </w:r>
    </w:p>
    <w:p w14:paraId="1DC1F440" w14:textId="371BB946" w:rsidR="000C35E7" w:rsidRPr="000C35E7" w:rsidRDefault="000C35E7" w:rsidP="000C35E7">
      <w:pPr>
        <w:ind w:left="720"/>
      </w:pPr>
      <w:r w:rsidRPr="000C35E7">
        <w:t xml:space="preserve">Appeal rebates to parishes will remain the same. </w:t>
      </w:r>
    </w:p>
    <w:p w14:paraId="28B8F413" w14:textId="67E46F24" w:rsidR="000C35E7" w:rsidRPr="000C35E7" w:rsidRDefault="000C35E7" w:rsidP="000C35E7">
      <w:pPr>
        <w:pStyle w:val="ListParagraph"/>
        <w:numPr>
          <w:ilvl w:val="0"/>
          <w:numId w:val="8"/>
        </w:numPr>
      </w:pPr>
      <w:r w:rsidRPr="000C35E7">
        <w:t xml:space="preserve">10% of the total amount raised up to the standard goal. </w:t>
      </w:r>
    </w:p>
    <w:p w14:paraId="60A4A1AC" w14:textId="23DF870D" w:rsidR="000C35E7" w:rsidRPr="000C35E7" w:rsidRDefault="000C35E7" w:rsidP="000C35E7">
      <w:pPr>
        <w:pStyle w:val="ListParagraph"/>
        <w:numPr>
          <w:ilvl w:val="0"/>
          <w:numId w:val="8"/>
        </w:numPr>
      </w:pPr>
      <w:r w:rsidRPr="000C35E7">
        <w:t xml:space="preserve">40% of the amount raised above the standard goal but below the stretch goal. </w:t>
      </w:r>
    </w:p>
    <w:p w14:paraId="08646A1D" w14:textId="38A4BC1F" w:rsidR="000C35E7" w:rsidRDefault="000C35E7" w:rsidP="000C35E7">
      <w:pPr>
        <w:pStyle w:val="ListParagraph"/>
        <w:numPr>
          <w:ilvl w:val="0"/>
          <w:numId w:val="8"/>
        </w:numPr>
      </w:pPr>
      <w:r w:rsidRPr="000C35E7">
        <w:t>75% of the amount raised above the stretch goal.</w:t>
      </w:r>
    </w:p>
    <w:p w14:paraId="7AC35A81" w14:textId="368BCA2B" w:rsidR="000C35E7" w:rsidRPr="000C35E7" w:rsidRDefault="000C35E7" w:rsidP="000C35E7">
      <w:pPr>
        <w:ind w:left="720"/>
      </w:pPr>
      <w:r>
        <w:t xml:space="preserve">Limited funds are available for the school tuition assistance match. To participate, please note the percentage of your parish share allocated to the match on your parish data sheet. </w:t>
      </w:r>
    </w:p>
    <w:p w14:paraId="66694A9B" w14:textId="77777777" w:rsidR="000C35E7" w:rsidRPr="000C35E7" w:rsidRDefault="000C35E7" w:rsidP="000C35E7">
      <w:pPr>
        <w:rPr>
          <w:b/>
          <w:bCs/>
        </w:rPr>
      </w:pPr>
    </w:p>
    <w:p w14:paraId="3976BE4C" w14:textId="4594E05B" w:rsidR="00D25326" w:rsidRDefault="00950AF5" w:rsidP="00D25326">
      <w:pPr>
        <w:pStyle w:val="ListParagraph"/>
        <w:numPr>
          <w:ilvl w:val="0"/>
          <w:numId w:val="5"/>
        </w:numPr>
        <w:rPr>
          <w:b/>
          <w:bCs/>
        </w:rPr>
      </w:pPr>
      <w:r w:rsidRPr="008A1193">
        <w:rPr>
          <w:b/>
          <w:bCs/>
        </w:rPr>
        <w:t>Seek the City to Come Paris</w:t>
      </w:r>
      <w:r w:rsidR="008A1193" w:rsidRPr="008A1193">
        <w:rPr>
          <w:b/>
          <w:bCs/>
        </w:rPr>
        <w:t>hes – How were the Seek the City parish goals calculated?</w:t>
      </w:r>
    </w:p>
    <w:p w14:paraId="1B285649" w14:textId="1689A474" w:rsidR="008A1193" w:rsidRPr="00D25326" w:rsidRDefault="008A1193" w:rsidP="00D25326">
      <w:pPr>
        <w:pStyle w:val="ListParagraph"/>
        <w:rPr>
          <w:b/>
          <w:bCs/>
        </w:rPr>
      </w:pPr>
      <w:r>
        <w:t xml:space="preserve">The goals were calculated by adding 80% of the merged parishes’ goals to the seated parishes’ goals. This is a “test year” and we will reevaluate the goals for the 2026 Annual Appeal, based on the 2025 results. </w:t>
      </w:r>
    </w:p>
    <w:sectPr w:rsidR="008A1193" w:rsidRPr="00D25326" w:rsidSect="00FA5C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13E64"/>
    <w:multiLevelType w:val="hybridMultilevel"/>
    <w:tmpl w:val="D130C364"/>
    <w:lvl w:ilvl="0" w:tplc="A5204E8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737D65"/>
    <w:multiLevelType w:val="hybridMultilevel"/>
    <w:tmpl w:val="A628FD4E"/>
    <w:lvl w:ilvl="0" w:tplc="481CD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44531"/>
    <w:multiLevelType w:val="hybridMultilevel"/>
    <w:tmpl w:val="639E335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91379"/>
    <w:multiLevelType w:val="hybridMultilevel"/>
    <w:tmpl w:val="BA5CD82A"/>
    <w:lvl w:ilvl="0" w:tplc="F8E630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65111C"/>
    <w:multiLevelType w:val="hybridMultilevel"/>
    <w:tmpl w:val="780ABB50"/>
    <w:lvl w:ilvl="0" w:tplc="5CA6E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CB6314"/>
    <w:multiLevelType w:val="hybridMultilevel"/>
    <w:tmpl w:val="185AB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92379"/>
    <w:multiLevelType w:val="hybridMultilevel"/>
    <w:tmpl w:val="BBD0CEFA"/>
    <w:lvl w:ilvl="0" w:tplc="CDDCE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325E6"/>
    <w:multiLevelType w:val="hybridMultilevel"/>
    <w:tmpl w:val="0B040BFA"/>
    <w:lvl w:ilvl="0" w:tplc="E264A8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F235FA"/>
    <w:multiLevelType w:val="hybridMultilevel"/>
    <w:tmpl w:val="D1C27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5329859">
    <w:abstractNumId w:val="6"/>
  </w:num>
  <w:num w:numId="2" w16cid:durableId="1885940519">
    <w:abstractNumId w:val="4"/>
  </w:num>
  <w:num w:numId="3" w16cid:durableId="1830713515">
    <w:abstractNumId w:val="8"/>
  </w:num>
  <w:num w:numId="4" w16cid:durableId="851721988">
    <w:abstractNumId w:val="1"/>
  </w:num>
  <w:num w:numId="5" w16cid:durableId="1335719992">
    <w:abstractNumId w:val="5"/>
  </w:num>
  <w:num w:numId="6" w16cid:durableId="156043041">
    <w:abstractNumId w:val="3"/>
  </w:num>
  <w:num w:numId="7" w16cid:durableId="1999920372">
    <w:abstractNumId w:val="2"/>
  </w:num>
  <w:num w:numId="8" w16cid:durableId="1778868318">
    <w:abstractNumId w:val="0"/>
  </w:num>
  <w:num w:numId="9" w16cid:durableId="8966271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59"/>
    <w:rsid w:val="000021C9"/>
    <w:rsid w:val="00032301"/>
    <w:rsid w:val="00046259"/>
    <w:rsid w:val="00094DD7"/>
    <w:rsid w:val="000C35E7"/>
    <w:rsid w:val="000C789E"/>
    <w:rsid w:val="0011557A"/>
    <w:rsid w:val="00135A2E"/>
    <w:rsid w:val="001C4922"/>
    <w:rsid w:val="001C75CC"/>
    <w:rsid w:val="001F5D9E"/>
    <w:rsid w:val="00233136"/>
    <w:rsid w:val="002446C4"/>
    <w:rsid w:val="00272883"/>
    <w:rsid w:val="002E3E3D"/>
    <w:rsid w:val="00320851"/>
    <w:rsid w:val="004346DA"/>
    <w:rsid w:val="004F3209"/>
    <w:rsid w:val="00565161"/>
    <w:rsid w:val="0058630B"/>
    <w:rsid w:val="005E7480"/>
    <w:rsid w:val="00634520"/>
    <w:rsid w:val="00646929"/>
    <w:rsid w:val="00684B8F"/>
    <w:rsid w:val="006D2B2E"/>
    <w:rsid w:val="006F4BDC"/>
    <w:rsid w:val="00837210"/>
    <w:rsid w:val="008A1193"/>
    <w:rsid w:val="008D01CC"/>
    <w:rsid w:val="00950AF5"/>
    <w:rsid w:val="00991E86"/>
    <w:rsid w:val="009B2A6A"/>
    <w:rsid w:val="009C0A28"/>
    <w:rsid w:val="00A50851"/>
    <w:rsid w:val="00A52E29"/>
    <w:rsid w:val="00AA61AB"/>
    <w:rsid w:val="00AD5B26"/>
    <w:rsid w:val="00AF779C"/>
    <w:rsid w:val="00B520B6"/>
    <w:rsid w:val="00B963DA"/>
    <w:rsid w:val="00BC2A8A"/>
    <w:rsid w:val="00BE4E9C"/>
    <w:rsid w:val="00BF5CCD"/>
    <w:rsid w:val="00C3680A"/>
    <w:rsid w:val="00CE31ED"/>
    <w:rsid w:val="00CF572A"/>
    <w:rsid w:val="00D06CA1"/>
    <w:rsid w:val="00D25326"/>
    <w:rsid w:val="00D61639"/>
    <w:rsid w:val="00E03029"/>
    <w:rsid w:val="00E1174B"/>
    <w:rsid w:val="00EE5491"/>
    <w:rsid w:val="00F273B1"/>
    <w:rsid w:val="00F42E78"/>
    <w:rsid w:val="00F46A33"/>
    <w:rsid w:val="00FA5CF5"/>
    <w:rsid w:val="00FB3E56"/>
    <w:rsid w:val="00FC619F"/>
    <w:rsid w:val="00FE3676"/>
    <w:rsid w:val="00FE74C5"/>
    <w:rsid w:val="00FF0DA8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7F7BD"/>
  <w15:chartTrackingRefBased/>
  <w15:docId w15:val="{106E7E81-6D42-4BCE-B9B1-7B0F55FE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2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E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E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36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76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3E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72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5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7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chbalt.org/the-archdiocese/fiscal-accountabil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hbalt.org/_parish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3121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Maribeth</dc:creator>
  <cp:keywords/>
  <dc:description/>
  <cp:lastModifiedBy>Harper, Maribeth</cp:lastModifiedBy>
  <cp:revision>2</cp:revision>
  <cp:lastPrinted>2023-02-01T19:12:00Z</cp:lastPrinted>
  <dcterms:created xsi:type="dcterms:W3CDTF">2024-12-04T19:24:00Z</dcterms:created>
  <dcterms:modified xsi:type="dcterms:W3CDTF">2024-12-04T19:24:00Z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c0e3bb7aec22d547b849ff4fe9ba8e08161e8bf968599c5782fff1eb0f86850f</vt:lpwstr>
  </property>
</Properties>
</file>